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0"/>
        <w:gridCol w:w="3030"/>
      </w:tblGrid>
      <w:tr w:rsidR="0043454D" w:rsidTr="0043454D">
        <w:tc>
          <w:tcPr>
            <w:tcW w:w="7045" w:type="dxa"/>
          </w:tcPr>
          <w:p w:rsidR="009C3416" w:rsidRDefault="009C3416" w:rsidP="009C3416">
            <w:pPr>
              <w:pStyle w:val="CompanyName"/>
            </w:pPr>
            <w:bookmarkStart w:id="0" w:name="_GoBack"/>
            <w:bookmarkEnd w:id="0"/>
          </w:p>
          <w:p w:rsidR="009C3416" w:rsidRPr="009C3416" w:rsidRDefault="009C3416" w:rsidP="009C3416">
            <w:pPr>
              <w:rPr>
                <w:b/>
                <w:sz w:val="48"/>
                <w:szCs w:val="48"/>
              </w:rPr>
            </w:pPr>
          </w:p>
          <w:p w:rsidR="009C3416" w:rsidRPr="00D8652B" w:rsidRDefault="009C3416" w:rsidP="009C3416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9C3416">
              <w:rPr>
                <w:rFonts w:ascii="Book Antiqua" w:hAnsi="Book Antiqua"/>
                <w:b/>
                <w:sz w:val="48"/>
                <w:szCs w:val="48"/>
              </w:rPr>
              <w:t>Eviction Checklist</w:t>
            </w:r>
          </w:p>
        </w:tc>
        <w:tc>
          <w:tcPr>
            <w:tcW w:w="1825" w:type="dxa"/>
          </w:tcPr>
          <w:p w:rsidR="0043454D" w:rsidRDefault="0043454D" w:rsidP="0043454D">
            <w:pPr>
              <w:pStyle w:val="Logo"/>
            </w:pPr>
          </w:p>
          <w:p w:rsidR="009C3416" w:rsidRDefault="009C3416" w:rsidP="009C3416">
            <w:pPr>
              <w:pStyle w:val="Logo"/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1B0051D3" wp14:editId="764FC784">
                  <wp:extent cx="1924050" cy="781050"/>
                  <wp:effectExtent l="0" t="0" r="0" b="0"/>
                  <wp:docPr id="3" name="irc_mi" descr="Image result for waukesha county sea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waukesha county seal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6"/>
        <w:gridCol w:w="5999"/>
        <w:gridCol w:w="2785"/>
      </w:tblGrid>
      <w:tr w:rsidR="007C42A8" w:rsidTr="004C738A">
        <w:tc>
          <w:tcPr>
            <w:tcW w:w="9350" w:type="dxa"/>
            <w:gridSpan w:val="3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Pr="009C3416" w:rsidRDefault="007C42A8" w:rsidP="00080433">
            <w:pPr>
              <w:pStyle w:val="Heading2"/>
              <w:rPr>
                <w:rFonts w:ascii="Book Antiqua" w:hAnsi="Book Antiqua"/>
                <w:sz w:val="24"/>
              </w:rPr>
            </w:pPr>
            <w:r w:rsidRPr="009C3416">
              <w:rPr>
                <w:rFonts w:ascii="Book Antiqua" w:hAnsi="Book Antiqua"/>
                <w:sz w:val="24"/>
              </w:rPr>
              <w:t>CHECKLIST</w:t>
            </w:r>
          </w:p>
        </w:tc>
      </w:tr>
      <w:tr w:rsidR="009C3416" w:rsidTr="004C738A">
        <w:trPr>
          <w:trHeight w:val="427"/>
        </w:trPr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9C3416" w:rsidRDefault="009C3416" w:rsidP="009C3416">
            <w:pPr>
              <w:jc w:val="center"/>
            </w:pPr>
          </w:p>
        </w:tc>
        <w:tc>
          <w:tcPr>
            <w:tcW w:w="5999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9C3416" w:rsidRPr="009C3416" w:rsidRDefault="009C3416" w:rsidP="009C3416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Task</w:t>
            </w:r>
          </w:p>
        </w:tc>
        <w:tc>
          <w:tcPr>
            <w:tcW w:w="2785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9C3416" w:rsidRPr="009C3416" w:rsidRDefault="001345AF" w:rsidP="001345AF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Statutory Reference</w:t>
            </w:r>
          </w:p>
        </w:tc>
      </w:tr>
      <w:tr w:rsidR="007C42A8" w:rsidTr="004C738A">
        <w:trPr>
          <w:trHeight w:val="720"/>
        </w:trPr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7C42A8" w:rsidRDefault="00F3153F" w:rsidP="009C341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126B6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5999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7C42A8" w:rsidRPr="009C3416" w:rsidRDefault="009C3416" w:rsidP="009C3416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Determine what type of notice is necessary to initiate eviction process (e.g., 5-day, 14-day, 28-day notice).</w:t>
            </w:r>
          </w:p>
        </w:tc>
        <w:tc>
          <w:tcPr>
            <w:tcW w:w="2785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7C42A8" w:rsidRPr="009C3416" w:rsidRDefault="009C3416" w:rsidP="009C3416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Wis. Stat. §</w:t>
            </w:r>
            <w:r w:rsidR="00236588">
              <w:rPr>
                <w:rFonts w:ascii="Book Antiqua" w:hAnsi="Book Antiqua"/>
                <w:sz w:val="24"/>
              </w:rPr>
              <w:t>§</w:t>
            </w:r>
            <w:r>
              <w:rPr>
                <w:rFonts w:ascii="Book Antiqua" w:hAnsi="Book Antiqua"/>
                <w:sz w:val="24"/>
              </w:rPr>
              <w:t xml:space="preserve"> 704.17</w:t>
            </w:r>
            <w:r w:rsidR="00236588">
              <w:rPr>
                <w:rFonts w:ascii="Book Antiqua" w:hAnsi="Book Antiqua"/>
                <w:sz w:val="24"/>
              </w:rPr>
              <w:t>, 704.19</w:t>
            </w:r>
            <w:r w:rsidR="00996C21">
              <w:rPr>
                <w:rFonts w:ascii="Book Antiqua" w:hAnsi="Book Antiqua"/>
                <w:sz w:val="24"/>
              </w:rPr>
              <w:t>.</w:t>
            </w:r>
          </w:p>
        </w:tc>
      </w:tr>
      <w:tr w:rsidR="007C42A8" w:rsidTr="004C738A">
        <w:trPr>
          <w:trHeight w:val="720"/>
        </w:trPr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7C42A8" w:rsidRDefault="00F3153F" w:rsidP="009C341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6B60">
              <w:fldChar w:fldCharType="separate"/>
            </w:r>
            <w:r>
              <w:fldChar w:fldCharType="end"/>
            </w:r>
          </w:p>
        </w:tc>
        <w:tc>
          <w:tcPr>
            <w:tcW w:w="5999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7C42A8" w:rsidRPr="009C3416" w:rsidRDefault="009C3416" w:rsidP="009C3416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Properly serve the notice (personal service, substituted service, post &amp; mail service, certified mail service).</w:t>
            </w:r>
          </w:p>
        </w:tc>
        <w:tc>
          <w:tcPr>
            <w:tcW w:w="2785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7C42A8" w:rsidRPr="009C3416" w:rsidRDefault="009C3416" w:rsidP="009C3416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Wis. Stat. § 704.21</w:t>
            </w:r>
            <w:r w:rsidR="00996C21">
              <w:rPr>
                <w:rFonts w:ascii="Book Antiqua" w:hAnsi="Book Antiqua"/>
                <w:sz w:val="24"/>
              </w:rPr>
              <w:t>.</w:t>
            </w:r>
          </w:p>
        </w:tc>
      </w:tr>
      <w:tr w:rsidR="007C42A8" w:rsidTr="004C738A">
        <w:trPr>
          <w:trHeight w:val="720"/>
        </w:trPr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7C42A8" w:rsidRDefault="00F3153F" w:rsidP="009C341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6B60">
              <w:fldChar w:fldCharType="separate"/>
            </w:r>
            <w:r>
              <w:fldChar w:fldCharType="end"/>
            </w:r>
          </w:p>
        </w:tc>
        <w:tc>
          <w:tcPr>
            <w:tcW w:w="5999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7C42A8" w:rsidRPr="009C3416" w:rsidRDefault="009C3416" w:rsidP="00996C21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Complete the Affidavit of Service of Notice Terminating Tenancy, </w:t>
            </w:r>
            <w:r w:rsidR="00996C21">
              <w:rPr>
                <w:rFonts w:ascii="Book Antiqua" w:hAnsi="Book Antiqua"/>
                <w:sz w:val="24"/>
              </w:rPr>
              <w:t>or retain a copy of the</w:t>
            </w:r>
            <w:r>
              <w:rPr>
                <w:rFonts w:ascii="Book Antiqua" w:hAnsi="Book Antiqua"/>
                <w:sz w:val="24"/>
              </w:rPr>
              <w:t xml:space="preserve"> certified mail receipt</w:t>
            </w:r>
            <w:r w:rsidR="00996C21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2785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FA7A52" w:rsidRPr="009C3416" w:rsidRDefault="00996C21" w:rsidP="009C3416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 Wis. Stat. § 799.40(1g).</w:t>
            </w:r>
          </w:p>
        </w:tc>
      </w:tr>
      <w:tr w:rsidR="007C42A8" w:rsidTr="004C738A">
        <w:trPr>
          <w:trHeight w:val="720"/>
        </w:trPr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7C42A8" w:rsidRDefault="00F3153F" w:rsidP="009C341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6B60">
              <w:fldChar w:fldCharType="separate"/>
            </w:r>
            <w:r>
              <w:fldChar w:fldCharType="end"/>
            </w:r>
          </w:p>
        </w:tc>
        <w:tc>
          <w:tcPr>
            <w:tcW w:w="5999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7C42A8" w:rsidRDefault="00996C21" w:rsidP="00866447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Draft and file</w:t>
            </w:r>
            <w:r w:rsidR="009C3416">
              <w:rPr>
                <w:rFonts w:ascii="Book Antiqua" w:hAnsi="Book Antiqua"/>
                <w:sz w:val="24"/>
              </w:rPr>
              <w:t xml:space="preserve"> the Summ</w:t>
            </w:r>
            <w:r w:rsidR="00866447">
              <w:rPr>
                <w:rFonts w:ascii="Book Antiqua" w:hAnsi="Book Antiqua"/>
                <w:sz w:val="24"/>
              </w:rPr>
              <w:t>ons and Complaint for Evictions</w:t>
            </w:r>
            <w:r w:rsidR="00EC6486">
              <w:rPr>
                <w:rFonts w:ascii="Book Antiqua" w:hAnsi="Book Antiqua"/>
                <w:sz w:val="24"/>
              </w:rPr>
              <w:t>*</w:t>
            </w:r>
            <w:r w:rsidR="00D8652B">
              <w:rPr>
                <w:rFonts w:ascii="Book Antiqua" w:hAnsi="Book Antiqua"/>
                <w:sz w:val="24"/>
              </w:rPr>
              <w:t xml:space="preserve">, and file either the </w:t>
            </w:r>
            <w:r w:rsidR="00D8652B" w:rsidRPr="00D8652B">
              <w:rPr>
                <w:rFonts w:ascii="Book Antiqua" w:hAnsi="Book Antiqua"/>
                <w:sz w:val="24"/>
              </w:rPr>
              <w:t>Affidavit of Service of Notice Terminating Tenancy</w:t>
            </w:r>
            <w:r w:rsidR="00D8652B">
              <w:rPr>
                <w:rFonts w:ascii="Book Antiqua" w:hAnsi="Book Antiqua"/>
                <w:sz w:val="24"/>
              </w:rPr>
              <w:t xml:space="preserve"> or the certified mail receipt.</w:t>
            </w:r>
          </w:p>
          <w:p w:rsidR="00BF1C30" w:rsidRPr="009C3416" w:rsidRDefault="00BF1C30" w:rsidP="00FD78E0">
            <w:pPr>
              <w:rPr>
                <w:rFonts w:ascii="Book Antiqua" w:hAnsi="Book Antiqua"/>
                <w:sz w:val="24"/>
              </w:rPr>
            </w:pPr>
            <w:r w:rsidRPr="00E04A60">
              <w:rPr>
                <w:rFonts w:ascii="Book Antiqua" w:hAnsi="Book Antiqua"/>
                <w:color w:val="FF0000"/>
                <w:sz w:val="20"/>
                <w:szCs w:val="20"/>
              </w:rPr>
              <w:t xml:space="preserve">*If </w:t>
            </w:r>
            <w:r w:rsidR="00EC6486">
              <w:rPr>
                <w:rFonts w:ascii="Book Antiqua" w:hAnsi="Book Antiqua"/>
                <w:color w:val="FF0000"/>
                <w:sz w:val="20"/>
                <w:szCs w:val="20"/>
              </w:rPr>
              <w:t xml:space="preserve">you are </w:t>
            </w:r>
            <w:r w:rsidRPr="00E04A60">
              <w:rPr>
                <w:rFonts w:ascii="Book Antiqua" w:hAnsi="Book Antiqua"/>
                <w:color w:val="FF0000"/>
                <w:sz w:val="20"/>
                <w:szCs w:val="20"/>
              </w:rPr>
              <w:t>also requesting money damages</w:t>
            </w:r>
            <w:r w:rsidR="00EC6486">
              <w:rPr>
                <w:rFonts w:ascii="Book Antiqua" w:hAnsi="Book Antiqua"/>
                <w:color w:val="FF0000"/>
                <w:sz w:val="20"/>
                <w:szCs w:val="20"/>
              </w:rPr>
              <w:t>, you must also state that claim on this form.  Check all boxes that apply.</w:t>
            </w:r>
            <w:r w:rsidR="002B650A">
              <w:rPr>
                <w:rFonts w:ascii="Book Antiqua" w:hAnsi="Book Antiqua"/>
                <w:color w:val="FF0000"/>
                <w:sz w:val="20"/>
                <w:szCs w:val="20"/>
              </w:rPr>
              <w:t xml:space="preserve"> </w:t>
            </w:r>
            <w:r w:rsidR="00EC6486">
              <w:rPr>
                <w:rFonts w:ascii="Book Antiqua" w:hAnsi="Book Antiqua"/>
                <w:color w:val="FF0000"/>
                <w:sz w:val="20"/>
                <w:szCs w:val="20"/>
              </w:rPr>
              <w:t>(</w:t>
            </w:r>
            <w:r w:rsidR="002B650A">
              <w:rPr>
                <w:rFonts w:ascii="Book Antiqua" w:hAnsi="Book Antiqua"/>
                <w:color w:val="FF0000"/>
                <w:sz w:val="20"/>
                <w:szCs w:val="20"/>
              </w:rPr>
              <w:t>Y</w:t>
            </w:r>
            <w:r w:rsidRPr="00E04A60">
              <w:rPr>
                <w:rFonts w:ascii="Book Antiqua" w:hAnsi="Book Antiqua"/>
                <w:color w:val="FF0000"/>
                <w:sz w:val="20"/>
                <w:szCs w:val="20"/>
              </w:rPr>
              <w:t>ou can mark more than one box). If</w:t>
            </w:r>
            <w:r w:rsidR="00EC6486">
              <w:rPr>
                <w:rFonts w:ascii="Book Antiqua" w:hAnsi="Book Antiqua"/>
                <w:color w:val="FF0000"/>
                <w:sz w:val="20"/>
                <w:szCs w:val="20"/>
              </w:rPr>
              <w:t xml:space="preserve"> you do not know the exact amount yet, state that the damage</w:t>
            </w:r>
            <w:r w:rsidR="00FD78E0">
              <w:rPr>
                <w:rFonts w:ascii="Book Antiqua" w:hAnsi="Book Antiqua"/>
                <w:color w:val="FF0000"/>
                <w:sz w:val="20"/>
                <w:szCs w:val="20"/>
              </w:rPr>
              <w:t>s</w:t>
            </w:r>
            <w:r w:rsidR="00EC6486">
              <w:rPr>
                <w:rFonts w:ascii="Book Antiqua" w:hAnsi="Book Antiqua"/>
                <w:color w:val="FF0000"/>
                <w:sz w:val="20"/>
                <w:szCs w:val="20"/>
              </w:rPr>
              <w:t xml:space="preserve"> amount is to be determined</w:t>
            </w:r>
            <w:r w:rsidRPr="00E04A60">
              <w:rPr>
                <w:rFonts w:ascii="Book Antiqua" w:hAnsi="Book Antiqua"/>
                <w:color w:val="FF0000"/>
                <w:sz w:val="20"/>
                <w:szCs w:val="20"/>
              </w:rPr>
              <w:t>.</w:t>
            </w:r>
          </w:p>
        </w:tc>
        <w:tc>
          <w:tcPr>
            <w:tcW w:w="2785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7C42A8" w:rsidRPr="009C3416" w:rsidRDefault="00996C21" w:rsidP="009C3416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Wis. Stat. § </w:t>
            </w:r>
            <w:r w:rsidRPr="00996C21">
              <w:rPr>
                <w:rFonts w:ascii="Book Antiqua" w:hAnsi="Book Antiqua"/>
                <w:sz w:val="24"/>
              </w:rPr>
              <w:t>799.41</w:t>
            </w:r>
            <w:r>
              <w:rPr>
                <w:rFonts w:ascii="Book Antiqua" w:hAnsi="Book Antiqua"/>
                <w:sz w:val="24"/>
              </w:rPr>
              <w:t>.</w:t>
            </w:r>
          </w:p>
        </w:tc>
      </w:tr>
      <w:tr w:rsidR="007C42A8" w:rsidTr="004C738A">
        <w:trPr>
          <w:trHeight w:val="720"/>
        </w:trPr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7C42A8" w:rsidRDefault="00F3153F" w:rsidP="009C341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6B60">
              <w:fldChar w:fldCharType="separate"/>
            </w:r>
            <w:r>
              <w:fldChar w:fldCharType="end"/>
            </w:r>
          </w:p>
        </w:tc>
        <w:tc>
          <w:tcPr>
            <w:tcW w:w="5999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7C42A8" w:rsidRPr="009C3416" w:rsidRDefault="00996C21" w:rsidP="00B32058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Have the </w:t>
            </w:r>
            <w:r w:rsidR="00B32058">
              <w:rPr>
                <w:rFonts w:ascii="Book Antiqua" w:hAnsi="Book Antiqua"/>
                <w:sz w:val="24"/>
              </w:rPr>
              <w:t>S</w:t>
            </w:r>
            <w:r>
              <w:rPr>
                <w:rFonts w:ascii="Book Antiqua" w:hAnsi="Book Antiqua"/>
                <w:sz w:val="24"/>
              </w:rPr>
              <w:t xml:space="preserve">ummons and </w:t>
            </w:r>
            <w:r w:rsidR="00B32058">
              <w:rPr>
                <w:rFonts w:ascii="Book Antiqua" w:hAnsi="Book Antiqua"/>
                <w:sz w:val="24"/>
              </w:rPr>
              <w:t>C</w:t>
            </w:r>
            <w:r>
              <w:rPr>
                <w:rFonts w:ascii="Book Antiqua" w:hAnsi="Book Antiqua"/>
                <w:sz w:val="24"/>
              </w:rPr>
              <w:t>omplaint properly served upon the tenant and file the Affidavit of Service.</w:t>
            </w:r>
          </w:p>
        </w:tc>
        <w:tc>
          <w:tcPr>
            <w:tcW w:w="2785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7C42A8" w:rsidRPr="009C3416" w:rsidRDefault="00996C21" w:rsidP="009C3416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Wis. Stat. §§ </w:t>
            </w:r>
            <w:r w:rsidRPr="00996C21">
              <w:rPr>
                <w:rFonts w:ascii="Book Antiqua" w:hAnsi="Book Antiqua"/>
                <w:sz w:val="24"/>
              </w:rPr>
              <w:t>799.16</w:t>
            </w:r>
            <w:r>
              <w:rPr>
                <w:rFonts w:ascii="Book Antiqua" w:hAnsi="Book Antiqua"/>
                <w:sz w:val="24"/>
              </w:rPr>
              <w:t>, 799.12.</w:t>
            </w:r>
          </w:p>
        </w:tc>
      </w:tr>
      <w:tr w:rsidR="007C42A8" w:rsidTr="004C738A">
        <w:trPr>
          <w:trHeight w:val="720"/>
        </w:trPr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7C42A8" w:rsidRDefault="00F3153F" w:rsidP="009C341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6B60">
              <w:fldChar w:fldCharType="separate"/>
            </w:r>
            <w:r>
              <w:fldChar w:fldCharType="end"/>
            </w:r>
          </w:p>
        </w:tc>
        <w:tc>
          <w:tcPr>
            <w:tcW w:w="5999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7C42A8" w:rsidRPr="009C3416" w:rsidRDefault="00996C21" w:rsidP="00B32058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Draft and </w:t>
            </w:r>
            <w:r w:rsidR="00B32058">
              <w:rPr>
                <w:rFonts w:ascii="Book Antiqua" w:hAnsi="Book Antiqua"/>
                <w:sz w:val="24"/>
              </w:rPr>
              <w:t>f</w:t>
            </w:r>
            <w:r>
              <w:rPr>
                <w:rFonts w:ascii="Book Antiqua" w:hAnsi="Book Antiqua"/>
                <w:sz w:val="24"/>
              </w:rPr>
              <w:t>ile a Declaration of Non-Military Service.</w:t>
            </w:r>
          </w:p>
        </w:tc>
        <w:tc>
          <w:tcPr>
            <w:tcW w:w="2785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7C42A8" w:rsidRPr="009C3416" w:rsidRDefault="00996C21" w:rsidP="009C3416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Wis. Stat. § 321.62.</w:t>
            </w:r>
          </w:p>
        </w:tc>
      </w:tr>
      <w:tr w:rsidR="00FA7A52" w:rsidTr="004C738A">
        <w:trPr>
          <w:trHeight w:val="720"/>
        </w:trPr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FA7A52" w:rsidRDefault="00FA7A52" w:rsidP="009C341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6B60">
              <w:fldChar w:fldCharType="separate"/>
            </w:r>
            <w:r>
              <w:fldChar w:fldCharType="end"/>
            </w:r>
          </w:p>
        </w:tc>
        <w:tc>
          <w:tcPr>
            <w:tcW w:w="5999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FA7A52" w:rsidRPr="009C3416" w:rsidRDefault="00996C21" w:rsidP="00996C21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Appear in person on the return date for the eviction.</w:t>
            </w:r>
          </w:p>
        </w:tc>
        <w:tc>
          <w:tcPr>
            <w:tcW w:w="2785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FA7A52" w:rsidRPr="009C3416" w:rsidRDefault="00483DE9" w:rsidP="009C3416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Wis. Stat. § </w:t>
            </w:r>
            <w:r w:rsidRPr="00483DE9">
              <w:rPr>
                <w:rFonts w:ascii="Book Antiqua" w:hAnsi="Book Antiqua"/>
                <w:sz w:val="24"/>
              </w:rPr>
              <w:t>799.206</w:t>
            </w:r>
            <w:r>
              <w:rPr>
                <w:rFonts w:ascii="Book Antiqua" w:hAnsi="Book Antiqua"/>
                <w:sz w:val="24"/>
              </w:rPr>
              <w:t>.</w:t>
            </w:r>
            <w:r w:rsidRPr="00483DE9">
              <w:rPr>
                <w:rFonts w:ascii="Book Antiqua" w:hAnsi="Book Antiqua"/>
                <w:sz w:val="24"/>
              </w:rPr>
              <w:t> </w:t>
            </w:r>
          </w:p>
        </w:tc>
      </w:tr>
      <w:tr w:rsidR="00FA7A52" w:rsidTr="004C738A">
        <w:trPr>
          <w:trHeight w:val="720"/>
        </w:trPr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FA7A52" w:rsidRDefault="00FA7A52" w:rsidP="009C341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6B60">
              <w:fldChar w:fldCharType="separate"/>
            </w:r>
            <w:r>
              <w:fldChar w:fldCharType="end"/>
            </w:r>
          </w:p>
        </w:tc>
        <w:tc>
          <w:tcPr>
            <w:tcW w:w="5999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FA7A52" w:rsidRPr="009C3416" w:rsidRDefault="00996C21" w:rsidP="00591AA3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If the action proceeds to the cause of action for monetary damages, file </w:t>
            </w:r>
            <w:r w:rsidR="00483DE9">
              <w:rPr>
                <w:rFonts w:ascii="Book Antiqua" w:hAnsi="Book Antiqua"/>
                <w:sz w:val="24"/>
              </w:rPr>
              <w:t xml:space="preserve">and serve upon opposing party an </w:t>
            </w:r>
            <w:r>
              <w:rPr>
                <w:rFonts w:ascii="Book Antiqua" w:hAnsi="Book Antiqua"/>
                <w:sz w:val="24"/>
              </w:rPr>
              <w:t>Affidavit of Damages,</w:t>
            </w:r>
            <w:r w:rsidR="00591AA3">
              <w:rPr>
                <w:rFonts w:ascii="Book Antiqua" w:hAnsi="Book Antiqua"/>
                <w:sz w:val="24"/>
              </w:rPr>
              <w:t xml:space="preserve"> along with supp</w:t>
            </w:r>
            <w:r w:rsidR="00866447">
              <w:rPr>
                <w:rFonts w:ascii="Book Antiqua" w:hAnsi="Book Antiqua"/>
                <w:sz w:val="24"/>
              </w:rPr>
              <w:t>orting documents no later than 3</w:t>
            </w:r>
            <w:r w:rsidR="00591AA3">
              <w:rPr>
                <w:rFonts w:ascii="Book Antiqua" w:hAnsi="Book Antiqua"/>
                <w:sz w:val="24"/>
              </w:rPr>
              <w:t>0 days after the eviction</w:t>
            </w:r>
            <w:r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2785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FA7A52" w:rsidRPr="009C3416" w:rsidRDefault="00483DE9" w:rsidP="009C3416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Wis. Stat. §§ 799.01, 799.209.</w:t>
            </w:r>
          </w:p>
        </w:tc>
      </w:tr>
      <w:tr w:rsidR="00FA7A52" w:rsidTr="004C738A">
        <w:trPr>
          <w:trHeight w:val="720"/>
        </w:trPr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FA7A52" w:rsidRDefault="00FA7A52" w:rsidP="009C341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6B60">
              <w:fldChar w:fldCharType="separate"/>
            </w:r>
            <w:r>
              <w:fldChar w:fldCharType="end"/>
            </w:r>
          </w:p>
        </w:tc>
        <w:tc>
          <w:tcPr>
            <w:tcW w:w="5999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FA7A52" w:rsidRPr="009C3416" w:rsidRDefault="00D25238" w:rsidP="00483DE9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Appear in person for return date on monetary damages and appear in person for trial on monetary damages</w:t>
            </w:r>
            <w:r w:rsidR="00483DE9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2785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:rsidR="00FA7A52" w:rsidRPr="009C3416" w:rsidRDefault="00483DE9" w:rsidP="009C3416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Wis. Stat. 799.209, 799.21.</w:t>
            </w:r>
          </w:p>
        </w:tc>
      </w:tr>
    </w:tbl>
    <w:p w:rsidR="007C42A8" w:rsidRDefault="007C42A8" w:rsidP="00D8652B"/>
    <w:sectPr w:rsidR="007C42A8" w:rsidSect="004345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66C" w:rsidRDefault="007F366C">
      <w:r>
        <w:separator/>
      </w:r>
    </w:p>
  </w:endnote>
  <w:endnote w:type="continuationSeparator" w:id="0">
    <w:p w:rsidR="007F366C" w:rsidRDefault="007F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299" w:rsidRDefault="005102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299" w:rsidRDefault="00510299">
    <w:pPr>
      <w:pStyle w:val="Footer"/>
    </w:pPr>
    <w:r w:rsidRPr="00074696">
      <w:t>M:\CIVIL\SMALL CLAIMS</w:t>
    </w:r>
    <w:r>
      <w:t>\Eviction Checklist</w:t>
    </w:r>
  </w:p>
  <w:p w:rsidR="00FA7A52" w:rsidRDefault="00FA7A5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299" w:rsidRDefault="00510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66C" w:rsidRDefault="007F366C">
      <w:r>
        <w:separator/>
      </w:r>
    </w:p>
  </w:footnote>
  <w:footnote w:type="continuationSeparator" w:id="0">
    <w:p w:rsidR="007F366C" w:rsidRDefault="007F3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299" w:rsidRDefault="005102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299" w:rsidRDefault="005102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299" w:rsidRDefault="005102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16"/>
    <w:rsid w:val="00034557"/>
    <w:rsid w:val="00055625"/>
    <w:rsid w:val="00080433"/>
    <w:rsid w:val="00082F86"/>
    <w:rsid w:val="00086801"/>
    <w:rsid w:val="00090054"/>
    <w:rsid w:val="000B3882"/>
    <w:rsid w:val="000D7D67"/>
    <w:rsid w:val="000F3B2D"/>
    <w:rsid w:val="001001B1"/>
    <w:rsid w:val="001003E1"/>
    <w:rsid w:val="00125CCB"/>
    <w:rsid w:val="00126B60"/>
    <w:rsid w:val="001345AF"/>
    <w:rsid w:val="00135FF5"/>
    <w:rsid w:val="00137DF3"/>
    <w:rsid w:val="00141C00"/>
    <w:rsid w:val="00157CA0"/>
    <w:rsid w:val="00172448"/>
    <w:rsid w:val="001B5C06"/>
    <w:rsid w:val="001D6113"/>
    <w:rsid w:val="001E3406"/>
    <w:rsid w:val="001F1696"/>
    <w:rsid w:val="001F310A"/>
    <w:rsid w:val="00236588"/>
    <w:rsid w:val="00267DF9"/>
    <w:rsid w:val="002906E7"/>
    <w:rsid w:val="00296402"/>
    <w:rsid w:val="002A3F76"/>
    <w:rsid w:val="002B650A"/>
    <w:rsid w:val="002F6283"/>
    <w:rsid w:val="003119FB"/>
    <w:rsid w:val="00311B83"/>
    <w:rsid w:val="0031256D"/>
    <w:rsid w:val="00320630"/>
    <w:rsid w:val="003444D6"/>
    <w:rsid w:val="003618B9"/>
    <w:rsid w:val="003761C5"/>
    <w:rsid w:val="003A1BC2"/>
    <w:rsid w:val="003F04D9"/>
    <w:rsid w:val="00407240"/>
    <w:rsid w:val="0041607A"/>
    <w:rsid w:val="0043454D"/>
    <w:rsid w:val="00454615"/>
    <w:rsid w:val="004567F4"/>
    <w:rsid w:val="00464875"/>
    <w:rsid w:val="0048031C"/>
    <w:rsid w:val="00483DE9"/>
    <w:rsid w:val="004B0AE9"/>
    <w:rsid w:val="004C738A"/>
    <w:rsid w:val="00510299"/>
    <w:rsid w:val="00522532"/>
    <w:rsid w:val="00560949"/>
    <w:rsid w:val="00581A1A"/>
    <w:rsid w:val="00591AA3"/>
    <w:rsid w:val="005E29C8"/>
    <w:rsid w:val="00610858"/>
    <w:rsid w:val="00620C63"/>
    <w:rsid w:val="006238C8"/>
    <w:rsid w:val="00643BDC"/>
    <w:rsid w:val="006C1BD5"/>
    <w:rsid w:val="00754382"/>
    <w:rsid w:val="007765DD"/>
    <w:rsid w:val="0078313D"/>
    <w:rsid w:val="00795C10"/>
    <w:rsid w:val="00797844"/>
    <w:rsid w:val="007A6235"/>
    <w:rsid w:val="007C42A8"/>
    <w:rsid w:val="007D3187"/>
    <w:rsid w:val="007F366C"/>
    <w:rsid w:val="00824ADF"/>
    <w:rsid w:val="00830E62"/>
    <w:rsid w:val="00834456"/>
    <w:rsid w:val="00866447"/>
    <w:rsid w:val="00891FD6"/>
    <w:rsid w:val="009142CB"/>
    <w:rsid w:val="0096077E"/>
    <w:rsid w:val="00970715"/>
    <w:rsid w:val="00980A6C"/>
    <w:rsid w:val="00995223"/>
    <w:rsid w:val="00996C21"/>
    <w:rsid w:val="009B2759"/>
    <w:rsid w:val="009C0F7C"/>
    <w:rsid w:val="009C3416"/>
    <w:rsid w:val="00A45F9E"/>
    <w:rsid w:val="00A50321"/>
    <w:rsid w:val="00A51E9F"/>
    <w:rsid w:val="00A90460"/>
    <w:rsid w:val="00AB1CC6"/>
    <w:rsid w:val="00B11EE0"/>
    <w:rsid w:val="00B32058"/>
    <w:rsid w:val="00B67C5A"/>
    <w:rsid w:val="00B75A27"/>
    <w:rsid w:val="00B97760"/>
    <w:rsid w:val="00BA4681"/>
    <w:rsid w:val="00BF1C30"/>
    <w:rsid w:val="00C16870"/>
    <w:rsid w:val="00C34FB6"/>
    <w:rsid w:val="00C36E89"/>
    <w:rsid w:val="00C4126C"/>
    <w:rsid w:val="00C45FDC"/>
    <w:rsid w:val="00C7613D"/>
    <w:rsid w:val="00CA3573"/>
    <w:rsid w:val="00CB47FD"/>
    <w:rsid w:val="00CC59BB"/>
    <w:rsid w:val="00D25238"/>
    <w:rsid w:val="00D36A80"/>
    <w:rsid w:val="00D827D3"/>
    <w:rsid w:val="00D8652B"/>
    <w:rsid w:val="00DA21A2"/>
    <w:rsid w:val="00DB0C25"/>
    <w:rsid w:val="00DE5986"/>
    <w:rsid w:val="00E04A60"/>
    <w:rsid w:val="00E37280"/>
    <w:rsid w:val="00E41884"/>
    <w:rsid w:val="00EA3E64"/>
    <w:rsid w:val="00EC6486"/>
    <w:rsid w:val="00EE40E1"/>
    <w:rsid w:val="00F03B50"/>
    <w:rsid w:val="00F27301"/>
    <w:rsid w:val="00F3153F"/>
    <w:rsid w:val="00F86A05"/>
    <w:rsid w:val="00FA7A52"/>
    <w:rsid w:val="00FD099B"/>
    <w:rsid w:val="00F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FE329939-1061-48A4-98C2-858F3397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318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3187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18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3187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jK2t3uwPzdAhXq34MKHS1pDM8QjRx6BAgBEAU&amp;url=https://www.waukeshacounty.gov/&amp;psig=AOvVaw1hWRafXY45B8nVBdt8ok81&amp;ust=153928264836154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>CCAP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Joshua Cronin</dc:creator>
  <cp:lastModifiedBy>Kevin Smith</cp:lastModifiedBy>
  <cp:revision>2</cp:revision>
  <cp:lastPrinted>2023-11-14T17:38:00Z</cp:lastPrinted>
  <dcterms:created xsi:type="dcterms:W3CDTF">2024-11-20T15:32:00Z</dcterms:created>
  <dcterms:modified xsi:type="dcterms:W3CDTF">2024-11-20T15:32:00Z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